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i/>
          <w:color w:val="555555"/>
          <w:sz w:val="17"/>
        </w:rPr>
        <w:t>Example CV by UAE Experts HUB, for illustration only. The person, employers and figures are fictional.</w:t>
      </w:r>
    </w:p>
    <w:p>
      <w:pPr>
        <w:spacing w:after="0"/>
      </w:pPr>
      <w:r>
        <w:rPr>
          <w:b/>
          <w:i w:val="0"/>
          <w:color w:val="1F3A5F"/>
          <w:sz w:val="40"/>
        </w:rPr>
        <w:t>Jordan Hale</w:t>
      </w:r>
    </w:p>
    <w:p>
      <w:pPr>
        <w:spacing w:after="40"/>
      </w:pPr>
      <w:r>
        <w:rPr>
          <w:b/>
          <w:i w:val="0"/>
          <w:sz w:val="24"/>
        </w:rPr>
        <w:t>Senior Accountant</w:t>
      </w:r>
    </w:p>
    <w:p>
      <w:pPr>
        <w:spacing w:after="40"/>
      </w:pPr>
      <w:r>
        <w:rPr>
          <w:b w:val="0"/>
          <w:i w:val="0"/>
        </w:rPr>
        <w:t>+971 50 000 0000  |  jordan.hale@example.com  |  linkedin.com/in/jordanhale-example  |  Dubai, UAE</w:t>
      </w:r>
    </w:p>
    <w:p>
      <w:pPr>
        <w:spacing w:after="80"/>
      </w:pPr>
      <w:r>
        <w:rPr>
          <w:b/>
          <w:i w:val="0"/>
        </w:rPr>
        <w:t>Nationality: British  |  Visa: UAE residence visa (employment), valid to 03/2028  |  Notice period: 30 days  |  UAE driving license: Yes</w:t>
      </w:r>
    </w:p>
    <w:p>
      <w:pPr>
        <w:spacing w:before="200" w:after="80"/>
        <w:pBdr>
          <w:bottom w:val="single" w:sz="6" w:space="1" w:color="1F3A5F"/>
        </w:pBdr>
      </w:pPr>
      <w:r>
        <w:rPr>
          <w:b/>
          <w:color w:val="1F3A5F"/>
          <w:sz w:val="22"/>
        </w:rPr>
        <w:t>PROFESSIONAL PROFILE</w:t>
      </w:r>
    </w:p>
    <w:p>
      <w:pPr>
        <w:spacing w:after="40"/>
      </w:pPr>
      <w:r>
        <w:rPr>
          <w:b w:val="0"/>
          <w:i w:val="0"/>
        </w:rPr>
        <w:t>Chartered accountant (ACCA) with 8 years in logistics and retail finance, 5 of them in the UAE. Led VAT and corporate tax compliance across 4 UAE entities with no FTA penalties, and cut the month-end close from 10 to 6 working days.</w:t>
      </w:r>
    </w:p>
    <w:p>
      <w:pPr>
        <w:spacing w:before="200" w:after="80"/>
        <w:pBdr>
          <w:bottom w:val="single" w:sz="6" w:space="1" w:color="1F3A5F"/>
        </w:pBdr>
      </w:pPr>
      <w:r>
        <w:rPr>
          <w:b/>
          <w:color w:val="1F3A5F"/>
          <w:sz w:val="22"/>
        </w:rPr>
        <w:t>CORE SKILLS</w:t>
      </w:r>
    </w:p>
    <w:p>
      <w:pPr>
        <w:spacing w:after="40"/>
      </w:pPr>
      <w:r>
        <w:rPr>
          <w:b w:val="0"/>
          <w:i w:val="0"/>
        </w:rPr>
        <w:t>Financial reporting (IFRS)  |  UAE VAT and Corporate Tax  |  Month-end close  |  Oracle NetSuite  |  Power BI  |  Audit liaison  |  Team leadership (4 reports)</w:t>
      </w:r>
    </w:p>
    <w:p>
      <w:pPr>
        <w:spacing w:before="200" w:after="80"/>
        <w:pBdr>
          <w:bottom w:val="single" w:sz="6" w:space="1" w:color="1F3A5F"/>
        </w:pBdr>
      </w:pPr>
      <w:r>
        <w:rPr>
          <w:b/>
          <w:color w:val="1F3A5F"/>
          <w:sz w:val="22"/>
        </w:rPr>
        <w:t>PROFESSIONAL EXPERIENCE</w:t>
      </w:r>
    </w:p>
    <w:p>
      <w:pPr>
        <w:spacing w:after="0" w:before="100"/>
      </w:pPr>
      <w:r>
        <w:rPr>
          <w:b/>
          <w:i w:val="0"/>
        </w:rPr>
        <w:t>Senior Accountant</w:t>
      </w:r>
      <w:r>
        <w:rPr>
          <w:b w:val="0"/>
          <w:i w:val="0"/>
        </w:rPr>
        <w:t xml:space="preserve">  |  Regional logistics group (1,200 staff), Dubai, UAE</w:t>
      </w:r>
    </w:p>
    <w:p>
      <w:pPr>
        <w:spacing w:after="40"/>
      </w:pPr>
      <w:r>
        <w:rPr>
          <w:b w:val="0"/>
          <w:i/>
          <w:color w:val="555555"/>
        </w:rPr>
        <w:t>April 2022 to Present</w:t>
      </w:r>
    </w:p>
    <w:p>
      <w:pPr>
        <w:pStyle w:val="ListBullet"/>
        <w:spacing w:after="20"/>
      </w:pPr>
      <w:r>
        <w:t>Run month-end close for 4 UAE entities with combined revenue of AED 420 million; reduced close time from 10 to 6 working days.</w:t>
      </w:r>
    </w:p>
    <w:p>
      <w:pPr>
        <w:pStyle w:val="ListBullet"/>
        <w:spacing w:after="20"/>
      </w:pPr>
      <w:r>
        <w:t>Prepared the group's first UAE Corporate Tax registrations and returns with external advisers.</w:t>
      </w:r>
    </w:p>
    <w:p>
      <w:pPr>
        <w:pStyle w:val="ListBullet"/>
        <w:spacing w:after="20"/>
      </w:pPr>
      <w:r>
        <w:t>Supervise a team of 4 accountants; a new reconciliation checklist cut audit adjustments by 40%.</w:t>
      </w:r>
    </w:p>
    <w:p>
      <w:pPr>
        <w:pStyle w:val="ListBullet"/>
        <w:spacing w:after="20"/>
      </w:pPr>
      <w:r>
        <w:t>Built a Power BI cash dashboard the CFO uses weekly to manage AED 60 million of working capital.</w:t>
      </w:r>
    </w:p>
    <w:p>
      <w:pPr>
        <w:spacing w:after="0" w:before="100"/>
      </w:pPr>
      <w:r>
        <w:rPr>
          <w:b/>
          <w:i w:val="0"/>
        </w:rPr>
        <w:t>Accountant</w:t>
      </w:r>
      <w:r>
        <w:rPr>
          <w:b w:val="0"/>
          <w:i w:val="0"/>
        </w:rPr>
        <w:t xml:space="preserve">  |  Retail chain (35 stores), Dubai, UAE</w:t>
      </w:r>
    </w:p>
    <w:p>
      <w:pPr>
        <w:spacing w:after="40"/>
      </w:pPr>
      <w:r>
        <w:rPr>
          <w:b w:val="0"/>
          <w:i/>
          <w:color w:val="555555"/>
        </w:rPr>
        <w:t>January 2021 to March 2022</w:t>
      </w:r>
    </w:p>
    <w:p>
      <w:pPr>
        <w:pStyle w:val="ListBullet"/>
        <w:spacing w:after="20"/>
      </w:pPr>
      <w:r>
        <w:t>Filed quarterly VAT returns for 2 entities with zero FTA penalties across 5 filings.</w:t>
      </w:r>
    </w:p>
    <w:p>
      <w:pPr>
        <w:pStyle w:val="ListBullet"/>
        <w:spacing w:after="20"/>
      </w:pPr>
      <w:r>
        <w:t>Reconciled AED 3 million of monthly card and cash takings across 35 stores.</w:t>
      </w:r>
    </w:p>
    <w:p>
      <w:pPr>
        <w:spacing w:after="0" w:before="100"/>
      </w:pPr>
      <w:r>
        <w:rPr>
          <w:b/>
          <w:i w:val="0"/>
        </w:rPr>
        <w:t>Audit Associate</w:t>
      </w:r>
      <w:r>
        <w:rPr>
          <w:b w:val="0"/>
          <w:i w:val="0"/>
        </w:rPr>
        <w:t xml:space="preserve">  |  Mid-tier audit firm, Manchester, UK</w:t>
      </w:r>
    </w:p>
    <w:p>
      <w:pPr>
        <w:spacing w:after="40"/>
      </w:pPr>
      <w:r>
        <w:rPr>
          <w:b w:val="0"/>
          <w:i/>
          <w:color w:val="555555"/>
        </w:rPr>
        <w:t>September 2017 to December 2020</w:t>
      </w:r>
    </w:p>
    <w:p>
      <w:pPr>
        <w:pStyle w:val="ListBullet"/>
        <w:spacing w:after="20"/>
      </w:pPr>
      <w:r>
        <w:t>Audited 20+ retail and logistics clients with revenues of GBP 5 million to 80 million.</w:t>
      </w:r>
    </w:p>
    <w:p>
      <w:pPr>
        <w:spacing w:before="200" w:after="80"/>
        <w:pBdr>
          <w:bottom w:val="single" w:sz="6" w:space="1" w:color="1F3A5F"/>
        </w:pBdr>
      </w:pPr>
      <w:r>
        <w:rPr>
          <w:b/>
          <w:color w:val="1F3A5F"/>
          <w:sz w:val="22"/>
        </w:rPr>
        <w:t>EDUCATION AND CERTIFICATIONS</w:t>
      </w:r>
    </w:p>
    <w:p>
      <w:pPr>
        <w:pStyle w:val="ListBullet"/>
        <w:spacing w:after="20"/>
      </w:pPr>
      <w:r>
        <w:t>BSc Accounting and Finance, UK university, 2017  (attested for UAE use)</w:t>
      </w:r>
    </w:p>
    <w:p>
      <w:pPr>
        <w:pStyle w:val="ListBullet"/>
        <w:spacing w:after="20"/>
      </w:pPr>
      <w:r>
        <w:t>ACCA Fellow, 2021</w:t>
      </w:r>
    </w:p>
    <w:p>
      <w:pPr>
        <w:spacing w:before="200" w:after="80"/>
        <w:pBdr>
          <w:bottom w:val="single" w:sz="6" w:space="1" w:color="1F3A5F"/>
        </w:pBdr>
      </w:pPr>
      <w:r>
        <w:rPr>
          <w:b/>
          <w:color w:val="1F3A5F"/>
          <w:sz w:val="22"/>
        </w:rPr>
        <w:t>LANGUAGES</w:t>
      </w:r>
    </w:p>
    <w:p>
      <w:pPr>
        <w:spacing w:after="40"/>
      </w:pPr>
      <w:r>
        <w:rPr>
          <w:b w:val="0"/>
          <w:i w:val="0"/>
        </w:rPr>
        <w:t>English (native)  |  Arabic (basic)</w:t>
      </w:r>
    </w:p>
    <w:p>
      <w:pPr>
        <w:spacing w:before="200" w:after="80"/>
        <w:pBdr>
          <w:bottom w:val="single" w:sz="6" w:space="1" w:color="1F3A5F"/>
        </w:pBdr>
      </w:pPr>
      <w:r>
        <w:rPr>
          <w:b/>
          <w:color w:val="1F3A5F"/>
          <w:sz w:val="22"/>
        </w:rPr>
        <w:t>ADDITIONAL INFORMATION</w:t>
      </w:r>
    </w:p>
    <w:p>
      <w:pPr>
        <w:pStyle w:val="ListBullet"/>
        <w:spacing w:after="20"/>
      </w:pPr>
      <w:r>
        <w:t>Available to start 30 days after signing an offer.</w:t>
      </w:r>
    </w:p>
    <w:p>
      <w:pPr>
        <w:spacing w:before="200" w:after="80"/>
        <w:pBdr>
          <w:bottom w:val="single" w:sz="6" w:space="1" w:color="1F3A5F"/>
        </w:pBdr>
      </w:pPr>
      <w:r>
        <w:rPr>
          <w:b/>
          <w:color w:val="1F3A5F"/>
          <w:sz w:val="22"/>
        </w:rPr>
        <w:t>REFERENCES</w:t>
      </w:r>
    </w:p>
    <w:p>
      <w:pPr>
        <w:spacing w:after="40"/>
      </w:pPr>
      <w:r>
        <w:rPr>
          <w:b w:val="0"/>
          <w:i w:val="0"/>
        </w:rPr>
        <w:t>Available on request.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CV Example</dc:title>
  <dc:subject/>
  <dc:creator>UAE Experts HUB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